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E1" w:rsidRPr="009E4102" w:rsidRDefault="004F6B14" w:rsidP="003D7ABB">
      <w:pPr>
        <w:rPr>
          <w:b/>
          <w:bCs/>
          <w:sz w:val="36"/>
          <w:szCs w:val="36"/>
        </w:rPr>
      </w:pPr>
      <w:r w:rsidRPr="009E4102">
        <w:rPr>
          <w:b/>
          <w:sz w:val="36"/>
          <w:szCs w:val="36"/>
        </w:rPr>
        <w:t xml:space="preserve">Call for </w:t>
      </w:r>
      <w:r w:rsidR="00C005E2" w:rsidRPr="009E4102">
        <w:rPr>
          <w:b/>
          <w:sz w:val="36"/>
          <w:szCs w:val="36"/>
        </w:rPr>
        <w:t xml:space="preserve">AHS </w:t>
      </w:r>
      <w:r w:rsidR="0026111F" w:rsidRPr="009E4102">
        <w:rPr>
          <w:b/>
          <w:sz w:val="36"/>
          <w:szCs w:val="36"/>
        </w:rPr>
        <w:t>Innovation</w:t>
      </w:r>
      <w:r w:rsidR="008D32E1" w:rsidRPr="009E4102">
        <w:rPr>
          <w:b/>
          <w:bCs/>
          <w:sz w:val="36"/>
          <w:szCs w:val="36"/>
        </w:rPr>
        <w:t xml:space="preserve"> </w:t>
      </w:r>
      <w:r w:rsidR="003C29A2" w:rsidRPr="009E4102">
        <w:rPr>
          <w:b/>
          <w:bCs/>
          <w:sz w:val="36"/>
          <w:szCs w:val="36"/>
        </w:rPr>
        <w:t xml:space="preserve">Planning </w:t>
      </w:r>
      <w:r w:rsidR="0054393F" w:rsidRPr="009E4102">
        <w:rPr>
          <w:b/>
          <w:bCs/>
          <w:sz w:val="36"/>
          <w:szCs w:val="36"/>
        </w:rPr>
        <w:t xml:space="preserve">Proposals </w:t>
      </w:r>
    </w:p>
    <w:p w:rsidR="009E4102" w:rsidRDefault="009E4102" w:rsidP="003D7ABB">
      <w:pPr>
        <w:rPr>
          <w:b/>
          <w:bCs/>
          <w:sz w:val="24"/>
        </w:rPr>
      </w:pPr>
    </w:p>
    <w:p w:rsidR="00B204A8" w:rsidRPr="00B204A8" w:rsidRDefault="00B204A8" w:rsidP="003D7ABB">
      <w:pPr>
        <w:rPr>
          <w:b/>
          <w:sz w:val="24"/>
        </w:rPr>
      </w:pPr>
      <w:r w:rsidRPr="00B204A8">
        <w:rPr>
          <w:b/>
          <w:bCs/>
          <w:sz w:val="24"/>
        </w:rPr>
        <w:t>Proposal</w:t>
      </w:r>
      <w:r>
        <w:rPr>
          <w:b/>
          <w:bCs/>
          <w:sz w:val="24"/>
        </w:rPr>
        <w:t>s</w:t>
      </w:r>
      <w:r w:rsidRPr="00B204A8">
        <w:rPr>
          <w:b/>
          <w:bCs/>
          <w:sz w:val="24"/>
        </w:rPr>
        <w:t xml:space="preserve"> due:  January 15, 2021</w:t>
      </w:r>
      <w:r>
        <w:rPr>
          <w:b/>
          <w:bCs/>
          <w:sz w:val="24"/>
        </w:rPr>
        <w:t xml:space="preserve"> </w:t>
      </w:r>
    </w:p>
    <w:p w:rsidR="00B204A8" w:rsidRDefault="00B204A8" w:rsidP="008D32E1">
      <w:pPr>
        <w:rPr>
          <w:b/>
          <w:sz w:val="28"/>
          <w:szCs w:val="28"/>
        </w:rPr>
      </w:pPr>
    </w:p>
    <w:p w:rsidR="008D32E1" w:rsidRPr="0090269E" w:rsidRDefault="006C44D7" w:rsidP="008D32E1">
      <w:pPr>
        <w:rPr>
          <w:b/>
          <w:sz w:val="28"/>
          <w:szCs w:val="28"/>
        </w:rPr>
      </w:pPr>
      <w:r w:rsidRPr="0090269E">
        <w:rPr>
          <w:b/>
          <w:sz w:val="28"/>
          <w:szCs w:val="28"/>
        </w:rPr>
        <w:t>DESCRIPTION</w:t>
      </w:r>
    </w:p>
    <w:p w:rsidR="003D7ABB" w:rsidRDefault="003D7ABB" w:rsidP="005A3C9D">
      <w:pPr>
        <w:rPr>
          <w:sz w:val="24"/>
        </w:rPr>
      </w:pPr>
    </w:p>
    <w:p w:rsidR="00585513" w:rsidRDefault="00EC153A" w:rsidP="00A771F9">
      <w:pPr>
        <w:rPr>
          <w:sz w:val="24"/>
        </w:rPr>
      </w:pPr>
      <w:r w:rsidRPr="00086216">
        <w:rPr>
          <w:sz w:val="24"/>
        </w:rPr>
        <w:t xml:space="preserve">AHS </w:t>
      </w:r>
      <w:r w:rsidR="00585513">
        <w:rPr>
          <w:sz w:val="24"/>
        </w:rPr>
        <w:t>needs to</w:t>
      </w:r>
      <w:r w:rsidRPr="00086216">
        <w:rPr>
          <w:sz w:val="24"/>
        </w:rPr>
        <w:t xml:space="preserve"> </w:t>
      </w:r>
      <w:r w:rsidR="00585513">
        <w:rPr>
          <w:sz w:val="24"/>
        </w:rPr>
        <w:t xml:space="preserve">develop </w:t>
      </w:r>
      <w:r w:rsidRPr="00086216">
        <w:rPr>
          <w:sz w:val="24"/>
        </w:rPr>
        <w:t xml:space="preserve">new activities, initiatives and programs that will position the college to lead and address the changing demands of the future, while enhancing our financial viability.  Despite the fact that </w:t>
      </w:r>
      <w:r w:rsidR="004F6B14" w:rsidRPr="00086216">
        <w:rPr>
          <w:sz w:val="24"/>
        </w:rPr>
        <w:t>AHS is a growing, innovative college whose health and wellbeing foci ar</w:t>
      </w:r>
      <w:r w:rsidR="00A771F9" w:rsidRPr="00086216">
        <w:rPr>
          <w:sz w:val="24"/>
        </w:rPr>
        <w:t>e particularly relevant today</w:t>
      </w:r>
      <w:r w:rsidRPr="00086216">
        <w:rPr>
          <w:sz w:val="24"/>
        </w:rPr>
        <w:t xml:space="preserve">, the college is dependent on the revenue it produces to support all activities.  </w:t>
      </w:r>
      <w:r w:rsidR="00A771F9" w:rsidRPr="00086216">
        <w:rPr>
          <w:sz w:val="24"/>
        </w:rPr>
        <w:t xml:space="preserve">The </w:t>
      </w:r>
      <w:r w:rsidR="002460FD" w:rsidRPr="00086216">
        <w:rPr>
          <w:sz w:val="24"/>
        </w:rPr>
        <w:t xml:space="preserve">impact of the </w:t>
      </w:r>
      <w:r w:rsidR="00A771F9" w:rsidRPr="00086216">
        <w:rPr>
          <w:sz w:val="24"/>
        </w:rPr>
        <w:t>pandemic</w:t>
      </w:r>
      <w:r w:rsidR="002460FD" w:rsidRPr="00086216">
        <w:rPr>
          <w:sz w:val="24"/>
        </w:rPr>
        <w:t>, rapidly changing disciplines,</w:t>
      </w:r>
      <w:r w:rsidR="00A771F9" w:rsidRPr="00086216">
        <w:rPr>
          <w:sz w:val="24"/>
        </w:rPr>
        <w:t xml:space="preserve"> </w:t>
      </w:r>
      <w:r w:rsidR="002460FD" w:rsidRPr="00086216">
        <w:rPr>
          <w:sz w:val="24"/>
        </w:rPr>
        <w:t>and</w:t>
      </w:r>
      <w:r w:rsidR="00A771F9" w:rsidRPr="00086216">
        <w:rPr>
          <w:sz w:val="24"/>
        </w:rPr>
        <w:t xml:space="preserve"> the impending </w:t>
      </w:r>
      <w:r w:rsidR="002460FD" w:rsidRPr="00086216">
        <w:rPr>
          <w:sz w:val="24"/>
        </w:rPr>
        <w:t>(</w:t>
      </w:r>
      <w:r w:rsidR="00A771F9" w:rsidRPr="00086216">
        <w:rPr>
          <w:sz w:val="24"/>
        </w:rPr>
        <w:t>significant</w:t>
      </w:r>
      <w:r w:rsidR="002460FD" w:rsidRPr="00086216">
        <w:rPr>
          <w:sz w:val="24"/>
        </w:rPr>
        <w:t>)</w:t>
      </w:r>
      <w:r w:rsidR="00A771F9" w:rsidRPr="00086216">
        <w:rPr>
          <w:sz w:val="24"/>
        </w:rPr>
        <w:t xml:space="preserve"> drop in the </w:t>
      </w:r>
      <w:r w:rsidR="002460FD" w:rsidRPr="00086216">
        <w:rPr>
          <w:sz w:val="24"/>
        </w:rPr>
        <w:t xml:space="preserve">number of 18-22 year </w:t>
      </w:r>
      <w:r w:rsidR="00172176" w:rsidRPr="00086216">
        <w:rPr>
          <w:sz w:val="24"/>
        </w:rPr>
        <w:t>olds,</w:t>
      </w:r>
      <w:r w:rsidR="00A771F9" w:rsidRPr="00086216">
        <w:rPr>
          <w:sz w:val="24"/>
        </w:rPr>
        <w:t xml:space="preserve"> from which we recruit our undergraduate classes, </w:t>
      </w:r>
      <w:r w:rsidR="002460FD" w:rsidRPr="00086216">
        <w:rPr>
          <w:sz w:val="24"/>
        </w:rPr>
        <w:t>gives urgency to developing</w:t>
      </w:r>
      <w:r w:rsidR="00585513">
        <w:rPr>
          <w:sz w:val="24"/>
        </w:rPr>
        <w:t xml:space="preserve"> </w:t>
      </w:r>
      <w:r w:rsidR="002460FD" w:rsidRPr="00086216">
        <w:rPr>
          <w:sz w:val="24"/>
        </w:rPr>
        <w:t>accessible, innovative, and forward-looking programs</w:t>
      </w:r>
      <w:r w:rsidR="00E35741" w:rsidRPr="00086216">
        <w:rPr>
          <w:sz w:val="24"/>
        </w:rPr>
        <w:t xml:space="preserve"> and activities</w:t>
      </w:r>
      <w:r w:rsidR="002460FD" w:rsidRPr="00086216">
        <w:rPr>
          <w:sz w:val="24"/>
        </w:rPr>
        <w:t>.  In addition to addressing the emerging needs of individuals, families and communities, these programs and activities will be critical to generating the revenue needed to maintain and expand college operations.</w:t>
      </w:r>
      <w:r w:rsidR="00E35741" w:rsidRPr="00086216">
        <w:rPr>
          <w:sz w:val="24"/>
        </w:rPr>
        <w:t xml:space="preserve">  </w:t>
      </w:r>
    </w:p>
    <w:p w:rsidR="00585513" w:rsidRDefault="00585513" w:rsidP="00A771F9">
      <w:pPr>
        <w:rPr>
          <w:sz w:val="24"/>
        </w:rPr>
      </w:pPr>
    </w:p>
    <w:p w:rsidR="00D923C9" w:rsidRDefault="00E35741" w:rsidP="005A3C9D">
      <w:pPr>
        <w:rPr>
          <w:sz w:val="24"/>
        </w:rPr>
      </w:pPr>
      <w:r w:rsidRPr="00086216">
        <w:rPr>
          <w:sz w:val="24"/>
        </w:rPr>
        <w:t>In response to these pressures, A</w:t>
      </w:r>
      <w:r w:rsidR="00A771F9" w:rsidRPr="00086216">
        <w:rPr>
          <w:sz w:val="24"/>
        </w:rPr>
        <w:t xml:space="preserve">HS is </w:t>
      </w:r>
      <w:r w:rsidR="00585513">
        <w:rPr>
          <w:sz w:val="24"/>
        </w:rPr>
        <w:t xml:space="preserve">calling for </w:t>
      </w:r>
      <w:r w:rsidR="00585513" w:rsidRPr="00585513">
        <w:rPr>
          <w:b/>
          <w:sz w:val="24"/>
        </w:rPr>
        <w:t>proposals to</w:t>
      </w:r>
      <w:r w:rsidR="00A771F9" w:rsidRPr="00086216">
        <w:rPr>
          <w:b/>
          <w:sz w:val="24"/>
        </w:rPr>
        <w:t xml:space="preserve"> </w:t>
      </w:r>
      <w:r w:rsidR="00A771F9" w:rsidRPr="00086216">
        <w:rPr>
          <w:b/>
          <w:sz w:val="24"/>
          <w:u w:val="single"/>
        </w:rPr>
        <w:t xml:space="preserve">create </w:t>
      </w:r>
      <w:r w:rsidR="00A771F9" w:rsidRPr="00C005E2">
        <w:rPr>
          <w:b/>
          <w:i/>
          <w:sz w:val="24"/>
          <w:u w:val="single"/>
        </w:rPr>
        <w:t>plans</w:t>
      </w:r>
      <w:r w:rsidR="00A771F9" w:rsidRPr="00086216">
        <w:rPr>
          <w:b/>
          <w:sz w:val="24"/>
        </w:rPr>
        <w:t xml:space="preserve"> for activities/programs that</w:t>
      </w:r>
      <w:r w:rsidRPr="00086216">
        <w:rPr>
          <w:b/>
          <w:sz w:val="24"/>
        </w:rPr>
        <w:t xml:space="preserve"> will</w:t>
      </w:r>
      <w:r w:rsidR="00A771F9" w:rsidRPr="00086216">
        <w:rPr>
          <w:b/>
          <w:sz w:val="24"/>
        </w:rPr>
        <w:t xml:space="preserve"> </w:t>
      </w:r>
      <w:r w:rsidR="00A771F9" w:rsidRPr="00086216">
        <w:rPr>
          <w:b/>
          <w:i/>
          <w:sz w:val="24"/>
          <w:u w:val="single"/>
        </w:rPr>
        <w:t>generate new net revenue</w:t>
      </w:r>
      <w:r w:rsidR="00A771F9" w:rsidRPr="00086216">
        <w:rPr>
          <w:b/>
          <w:i/>
          <w:sz w:val="24"/>
        </w:rPr>
        <w:t>.</w:t>
      </w:r>
    </w:p>
    <w:p w:rsidR="00D923C9" w:rsidRDefault="00D923C9" w:rsidP="005A3C9D">
      <w:pPr>
        <w:rPr>
          <w:sz w:val="24"/>
        </w:rPr>
      </w:pPr>
    </w:p>
    <w:p w:rsidR="00D923C9" w:rsidRDefault="00D923C9" w:rsidP="00D923C9">
      <w:pPr>
        <w:rPr>
          <w:sz w:val="24"/>
        </w:rPr>
      </w:pPr>
      <w:r w:rsidRPr="00086216">
        <w:rPr>
          <w:sz w:val="24"/>
        </w:rPr>
        <w:t>Reviewers will be asked to rate the proposals across five criteria as (E)xcellent, (V)ery Good, (G)ood, (F)air and (P)oor. The following criteria will be used to a</w:t>
      </w:r>
      <w:r>
        <w:rPr>
          <w:sz w:val="24"/>
        </w:rPr>
        <w:t>ssess the investment proposals:</w:t>
      </w:r>
    </w:p>
    <w:p w:rsidR="00D923C9" w:rsidRDefault="00D923C9" w:rsidP="00D923C9">
      <w:pPr>
        <w:pStyle w:val="ListParagraph"/>
        <w:numPr>
          <w:ilvl w:val="0"/>
          <w:numId w:val="7"/>
        </w:numPr>
        <w:rPr>
          <w:sz w:val="24"/>
        </w:rPr>
      </w:pPr>
      <w:r w:rsidRPr="00086216">
        <w:rPr>
          <w:sz w:val="24"/>
        </w:rPr>
        <w:t xml:space="preserve">Contribution toward the college’s goal of </w:t>
      </w:r>
      <w:r>
        <w:rPr>
          <w:sz w:val="24"/>
        </w:rPr>
        <w:t>increasing revenue generation</w:t>
      </w:r>
      <w:r w:rsidRPr="00086216">
        <w:rPr>
          <w:sz w:val="24"/>
        </w:rPr>
        <w:t xml:space="preserve"> </w:t>
      </w:r>
    </w:p>
    <w:p w:rsidR="00D923C9" w:rsidRDefault="00D923C9" w:rsidP="00D923C9">
      <w:pPr>
        <w:pStyle w:val="ListParagraph"/>
        <w:numPr>
          <w:ilvl w:val="0"/>
          <w:numId w:val="7"/>
        </w:numPr>
        <w:rPr>
          <w:sz w:val="24"/>
        </w:rPr>
      </w:pPr>
      <w:r w:rsidRPr="00086216">
        <w:rPr>
          <w:sz w:val="24"/>
        </w:rPr>
        <w:t>Alignment with unmet, high and/or emerging workforce or consumer demands</w:t>
      </w:r>
    </w:p>
    <w:p w:rsidR="00D923C9" w:rsidRDefault="00D923C9" w:rsidP="00D923C9">
      <w:pPr>
        <w:pStyle w:val="ListParagraph"/>
        <w:numPr>
          <w:ilvl w:val="0"/>
          <w:numId w:val="7"/>
        </w:numPr>
        <w:rPr>
          <w:sz w:val="24"/>
        </w:rPr>
      </w:pPr>
      <w:r w:rsidRPr="00086216">
        <w:rPr>
          <w:sz w:val="24"/>
        </w:rPr>
        <w:t>Centrality to the mission of the department, college or the campus as a whole, as well as associated strategic plans</w:t>
      </w:r>
    </w:p>
    <w:p w:rsidR="00D923C9" w:rsidRDefault="00D923C9" w:rsidP="00D923C9">
      <w:pPr>
        <w:pStyle w:val="ListParagraph"/>
        <w:numPr>
          <w:ilvl w:val="0"/>
          <w:numId w:val="7"/>
        </w:numPr>
        <w:rPr>
          <w:sz w:val="24"/>
        </w:rPr>
      </w:pPr>
      <w:r w:rsidRPr="00086216">
        <w:rPr>
          <w:sz w:val="24"/>
        </w:rPr>
        <w:t>Potential to support interdisciplinary collaboration and build synergies within the college or across campus units, including DPI.</w:t>
      </w:r>
    </w:p>
    <w:p w:rsidR="00D923C9" w:rsidRPr="00086216" w:rsidRDefault="00D923C9" w:rsidP="00D923C9">
      <w:pPr>
        <w:pStyle w:val="ListParagraph"/>
        <w:numPr>
          <w:ilvl w:val="0"/>
          <w:numId w:val="7"/>
        </w:numPr>
        <w:rPr>
          <w:sz w:val="24"/>
        </w:rPr>
      </w:pPr>
      <w:r w:rsidRPr="00086216">
        <w:rPr>
          <w:sz w:val="24"/>
        </w:rPr>
        <w:t>Preference will be given to proposals that emphasize one or more of the following</w:t>
      </w:r>
      <w:r>
        <w:rPr>
          <w:sz w:val="24"/>
        </w:rPr>
        <w:t xml:space="preserve"> -</w:t>
      </w:r>
    </w:p>
    <w:p w:rsidR="00D923C9" w:rsidRPr="00086216" w:rsidRDefault="00D923C9" w:rsidP="00D923C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reach</w:t>
      </w:r>
      <w:r w:rsidRPr="00086216">
        <w:rPr>
          <w:sz w:val="24"/>
        </w:rPr>
        <w:t xml:space="preserve"> new learner populations (including reskilling, upskilling, or cross-skilling) or  new consumer groups</w:t>
      </w:r>
    </w:p>
    <w:p w:rsidR="00D923C9" w:rsidRPr="00086216" w:rsidRDefault="00D923C9" w:rsidP="00D923C9">
      <w:pPr>
        <w:pStyle w:val="ListParagraph"/>
        <w:numPr>
          <w:ilvl w:val="0"/>
          <w:numId w:val="1"/>
        </w:numPr>
        <w:rPr>
          <w:sz w:val="24"/>
        </w:rPr>
      </w:pPr>
      <w:r w:rsidRPr="00086216">
        <w:rPr>
          <w:sz w:val="24"/>
        </w:rPr>
        <w:t xml:space="preserve">democratize opportunities for access to higher education across diverse groups        </w:t>
      </w:r>
    </w:p>
    <w:p w:rsidR="00D923C9" w:rsidRPr="00086216" w:rsidRDefault="00D923C9" w:rsidP="00D923C9">
      <w:pPr>
        <w:pStyle w:val="ListParagraph"/>
        <w:numPr>
          <w:ilvl w:val="0"/>
          <w:numId w:val="1"/>
        </w:numPr>
        <w:rPr>
          <w:sz w:val="24"/>
        </w:rPr>
      </w:pPr>
      <w:r w:rsidRPr="00086216">
        <w:rPr>
          <w:sz w:val="24"/>
        </w:rPr>
        <w:t>modularize activities or learning content for multiple uses</w:t>
      </w:r>
    </w:p>
    <w:p w:rsidR="00D923C9" w:rsidRPr="00086216" w:rsidRDefault="00D923C9" w:rsidP="00D923C9">
      <w:pPr>
        <w:pStyle w:val="ListParagraph"/>
        <w:numPr>
          <w:ilvl w:val="0"/>
          <w:numId w:val="1"/>
        </w:numPr>
        <w:rPr>
          <w:sz w:val="24"/>
        </w:rPr>
      </w:pPr>
      <w:r w:rsidRPr="00086216">
        <w:rPr>
          <w:sz w:val="24"/>
        </w:rPr>
        <w:t xml:space="preserve">incorporate innovative structures and technology, including expanding and optimizing online learning opportunities </w:t>
      </w:r>
    </w:p>
    <w:p w:rsidR="00D923C9" w:rsidRPr="00086216" w:rsidRDefault="00D923C9" w:rsidP="00D923C9">
      <w:pPr>
        <w:pStyle w:val="ListParagraph"/>
        <w:numPr>
          <w:ilvl w:val="0"/>
          <w:numId w:val="1"/>
        </w:numPr>
        <w:rPr>
          <w:sz w:val="24"/>
        </w:rPr>
      </w:pPr>
      <w:r w:rsidRPr="00086216">
        <w:rPr>
          <w:sz w:val="24"/>
        </w:rPr>
        <w:t xml:space="preserve">enhance and increase student and faculty diversity </w:t>
      </w:r>
    </w:p>
    <w:p w:rsidR="00D923C9" w:rsidRPr="00086216" w:rsidRDefault="00D923C9" w:rsidP="00D923C9">
      <w:pPr>
        <w:pStyle w:val="ListParagraph"/>
        <w:numPr>
          <w:ilvl w:val="0"/>
          <w:numId w:val="1"/>
        </w:numPr>
        <w:rPr>
          <w:sz w:val="24"/>
        </w:rPr>
      </w:pPr>
      <w:r w:rsidRPr="00086216">
        <w:rPr>
          <w:sz w:val="24"/>
        </w:rPr>
        <w:t>inter-connect education, research, and/or community engagement to enhance the capacity of individuals,  families, and communities to address their most pressing issues and needs</w:t>
      </w:r>
    </w:p>
    <w:p w:rsidR="009E4102" w:rsidRDefault="009E4102" w:rsidP="009E4102">
      <w:pPr>
        <w:spacing w:after="160" w:line="259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9E4102" w:rsidRPr="009E4102" w:rsidRDefault="009E4102" w:rsidP="009E4102">
      <w:pPr>
        <w:spacing w:after="160" w:line="259" w:lineRule="auto"/>
        <w:rPr>
          <w:b/>
          <w:sz w:val="28"/>
          <w:szCs w:val="28"/>
        </w:rPr>
      </w:pPr>
      <w:r w:rsidRPr="009E4102">
        <w:rPr>
          <w:b/>
          <w:sz w:val="28"/>
          <w:szCs w:val="28"/>
        </w:rPr>
        <w:lastRenderedPageBreak/>
        <w:t>FUNDING</w:t>
      </w:r>
    </w:p>
    <w:p w:rsidR="00D923C9" w:rsidRDefault="00E87B38" w:rsidP="005A3C9D">
      <w:pPr>
        <w:rPr>
          <w:sz w:val="24"/>
        </w:rPr>
      </w:pPr>
      <w:r w:rsidRPr="00086216">
        <w:rPr>
          <w:b/>
          <w:sz w:val="24"/>
          <w:u w:val="single"/>
        </w:rPr>
        <w:t>F</w:t>
      </w:r>
      <w:r w:rsidR="005A3C9D" w:rsidRPr="00086216">
        <w:rPr>
          <w:b/>
          <w:sz w:val="24"/>
          <w:u w:val="single"/>
        </w:rPr>
        <w:t>unding request</w:t>
      </w:r>
      <w:r w:rsidR="00596246" w:rsidRPr="00086216">
        <w:rPr>
          <w:b/>
          <w:sz w:val="24"/>
          <w:u w:val="single"/>
        </w:rPr>
        <w:t xml:space="preserve">s </w:t>
      </w:r>
      <w:r w:rsidR="00073BD3">
        <w:rPr>
          <w:b/>
          <w:sz w:val="24"/>
          <w:u w:val="single"/>
        </w:rPr>
        <w:t xml:space="preserve">for college funds </w:t>
      </w:r>
      <w:r w:rsidR="00596246" w:rsidRPr="00086216">
        <w:rPr>
          <w:b/>
          <w:sz w:val="24"/>
          <w:u w:val="single"/>
        </w:rPr>
        <w:t>may not exceed $20,000</w:t>
      </w:r>
      <w:r w:rsidR="00596246" w:rsidRPr="00086216">
        <w:rPr>
          <w:b/>
          <w:sz w:val="24"/>
        </w:rPr>
        <w:t>.</w:t>
      </w:r>
      <w:r w:rsidR="00596246" w:rsidRPr="00086216">
        <w:rPr>
          <w:sz w:val="24"/>
        </w:rPr>
        <w:t xml:space="preserve"> </w:t>
      </w:r>
      <w:r w:rsidR="00D923C9">
        <w:rPr>
          <w:sz w:val="24"/>
        </w:rPr>
        <w:t xml:space="preserve"> </w:t>
      </w:r>
      <w:r w:rsidR="00073BD3">
        <w:rPr>
          <w:sz w:val="24"/>
        </w:rPr>
        <w:t xml:space="preserve">However, individual departments can add departmental funds to cover costs over $20,000.  Any addition must be included in the submitted budget.  </w:t>
      </w:r>
      <w:r w:rsidR="008A55C7" w:rsidRPr="00086216">
        <w:rPr>
          <w:sz w:val="24"/>
        </w:rPr>
        <w:t xml:space="preserve">Recipients </w:t>
      </w:r>
      <w:r w:rsidR="00726690" w:rsidRPr="00086216">
        <w:rPr>
          <w:sz w:val="24"/>
        </w:rPr>
        <w:t>can</w:t>
      </w:r>
      <w:r w:rsidR="00C26EF5" w:rsidRPr="00086216">
        <w:rPr>
          <w:sz w:val="24"/>
        </w:rPr>
        <w:t xml:space="preserve"> use funding for </w:t>
      </w:r>
      <w:r w:rsidR="00726690" w:rsidRPr="00086216">
        <w:rPr>
          <w:sz w:val="24"/>
        </w:rPr>
        <w:t>summer salar</w:t>
      </w:r>
      <w:r w:rsidR="00EF0D5A" w:rsidRPr="00086216">
        <w:rPr>
          <w:sz w:val="24"/>
        </w:rPr>
        <w:t>y, graduate students, a fall course buy out, or other relevant resources that support development of the</w:t>
      </w:r>
      <w:r w:rsidR="008A55C7" w:rsidRPr="00086216">
        <w:rPr>
          <w:sz w:val="24"/>
        </w:rPr>
        <w:t xml:space="preserve"> </w:t>
      </w:r>
      <w:r w:rsidR="00C26EF5" w:rsidRPr="00086216">
        <w:rPr>
          <w:sz w:val="24"/>
        </w:rPr>
        <w:t xml:space="preserve">full </w:t>
      </w:r>
      <w:r w:rsidR="008A55C7" w:rsidRPr="00086216">
        <w:rPr>
          <w:sz w:val="24"/>
        </w:rPr>
        <w:t>proposal</w:t>
      </w:r>
      <w:r w:rsidR="00C26EF5" w:rsidRPr="00086216">
        <w:rPr>
          <w:sz w:val="24"/>
        </w:rPr>
        <w:t xml:space="preserve"> (see attached)</w:t>
      </w:r>
      <w:r w:rsidR="008A55C7" w:rsidRPr="00086216">
        <w:rPr>
          <w:sz w:val="24"/>
        </w:rPr>
        <w:t>.</w:t>
      </w:r>
      <w:r w:rsidR="00C6624A" w:rsidRPr="00086216">
        <w:rPr>
          <w:sz w:val="24"/>
        </w:rPr>
        <w:t xml:space="preserve">  </w:t>
      </w:r>
      <w:r w:rsidR="004309BF" w:rsidRPr="00086216">
        <w:rPr>
          <w:sz w:val="24"/>
        </w:rPr>
        <w:t>The funding period may start as early as summer session 2021</w:t>
      </w:r>
      <w:r w:rsidR="006C44D7" w:rsidRPr="00086216">
        <w:rPr>
          <w:sz w:val="24"/>
        </w:rPr>
        <w:t xml:space="preserve"> and </w:t>
      </w:r>
      <w:r w:rsidR="00B204A8">
        <w:rPr>
          <w:sz w:val="24"/>
        </w:rPr>
        <w:t>extend</w:t>
      </w:r>
      <w:r w:rsidR="009C6BCA">
        <w:rPr>
          <w:sz w:val="24"/>
        </w:rPr>
        <w:t>s</w:t>
      </w:r>
      <w:r w:rsidR="00B204A8">
        <w:rPr>
          <w:sz w:val="24"/>
        </w:rPr>
        <w:t xml:space="preserve"> through </w:t>
      </w:r>
      <w:r w:rsidR="006C44D7" w:rsidRPr="00086216">
        <w:rPr>
          <w:sz w:val="24"/>
        </w:rPr>
        <w:t>January 15, 2022</w:t>
      </w:r>
      <w:r w:rsidR="009C6BCA">
        <w:rPr>
          <w:sz w:val="24"/>
        </w:rPr>
        <w:t xml:space="preserve">.  </w:t>
      </w:r>
    </w:p>
    <w:p w:rsidR="00086216" w:rsidRDefault="00086216" w:rsidP="00B55A24">
      <w:pPr>
        <w:rPr>
          <w:sz w:val="24"/>
        </w:rPr>
      </w:pPr>
    </w:p>
    <w:p w:rsidR="008D32E1" w:rsidRPr="0090269E" w:rsidRDefault="008D32E1" w:rsidP="008D32E1">
      <w:pPr>
        <w:rPr>
          <w:sz w:val="28"/>
          <w:szCs w:val="28"/>
        </w:rPr>
      </w:pPr>
      <w:r w:rsidRPr="0090269E">
        <w:rPr>
          <w:b/>
          <w:bCs/>
          <w:sz w:val="28"/>
          <w:szCs w:val="28"/>
        </w:rPr>
        <w:t xml:space="preserve">ELIGIBILITY </w:t>
      </w:r>
    </w:p>
    <w:p w:rsidR="0090269E" w:rsidRDefault="0090269E" w:rsidP="008D32E1"/>
    <w:p w:rsidR="008D32E1" w:rsidRPr="00086216" w:rsidRDefault="006C44D7" w:rsidP="008D32E1">
      <w:pPr>
        <w:rPr>
          <w:sz w:val="24"/>
        </w:rPr>
      </w:pPr>
      <w:r w:rsidRPr="00086216">
        <w:rPr>
          <w:sz w:val="24"/>
        </w:rPr>
        <w:t xml:space="preserve">AHS </w:t>
      </w:r>
      <w:r w:rsidR="00C005E2">
        <w:rPr>
          <w:sz w:val="24"/>
        </w:rPr>
        <w:t xml:space="preserve">faculty members </w:t>
      </w:r>
      <w:r w:rsidR="008D32E1" w:rsidRPr="00086216">
        <w:rPr>
          <w:sz w:val="24"/>
        </w:rPr>
        <w:t xml:space="preserve">are eligible to submit proposals that have the potential to provide additional </w:t>
      </w:r>
      <w:r w:rsidR="00252B79" w:rsidRPr="00086216">
        <w:rPr>
          <w:sz w:val="24"/>
        </w:rPr>
        <w:t xml:space="preserve">net </w:t>
      </w:r>
      <w:r w:rsidR="008D32E1" w:rsidRPr="00086216">
        <w:rPr>
          <w:sz w:val="24"/>
        </w:rPr>
        <w:t>revenue</w:t>
      </w:r>
      <w:r w:rsidR="00252B79" w:rsidRPr="00086216">
        <w:rPr>
          <w:sz w:val="24"/>
        </w:rPr>
        <w:t xml:space="preserve"> </w:t>
      </w:r>
      <w:r w:rsidR="00252B79" w:rsidRPr="00086216">
        <w:rPr>
          <w:sz w:val="24"/>
          <w:u w:val="single"/>
        </w:rPr>
        <w:t xml:space="preserve">to </w:t>
      </w:r>
      <w:r w:rsidR="00DB7847" w:rsidRPr="00086216">
        <w:rPr>
          <w:sz w:val="24"/>
          <w:u w:val="single"/>
        </w:rPr>
        <w:t xml:space="preserve">at least one </w:t>
      </w:r>
      <w:r w:rsidR="00612ADE" w:rsidRPr="00086216">
        <w:rPr>
          <w:sz w:val="24"/>
          <w:u w:val="single"/>
        </w:rPr>
        <w:t>AHS</w:t>
      </w:r>
      <w:r w:rsidR="00DB7847" w:rsidRPr="00086216">
        <w:rPr>
          <w:sz w:val="24"/>
          <w:u w:val="single"/>
        </w:rPr>
        <w:t xml:space="preserve"> department</w:t>
      </w:r>
      <w:r w:rsidR="008D32E1" w:rsidRPr="00086216">
        <w:rPr>
          <w:sz w:val="24"/>
        </w:rPr>
        <w:t>.</w:t>
      </w:r>
      <w:r w:rsidR="00612ADE" w:rsidRPr="00086216">
        <w:rPr>
          <w:sz w:val="24"/>
        </w:rPr>
        <w:t xml:space="preserve"> DRES or CVC</w:t>
      </w:r>
      <w:r w:rsidRPr="00086216">
        <w:rPr>
          <w:sz w:val="24"/>
        </w:rPr>
        <w:t xml:space="preserve"> staff members</w:t>
      </w:r>
      <w:r w:rsidR="00612ADE" w:rsidRPr="00086216">
        <w:rPr>
          <w:sz w:val="24"/>
        </w:rPr>
        <w:t xml:space="preserve"> are encouraged to submit proposals</w:t>
      </w:r>
      <w:r w:rsidR="00172176" w:rsidRPr="00086216">
        <w:rPr>
          <w:sz w:val="24"/>
        </w:rPr>
        <w:t xml:space="preserve"> if the proposals </w:t>
      </w:r>
      <w:r w:rsidR="00DB7847" w:rsidRPr="00086216">
        <w:rPr>
          <w:sz w:val="24"/>
        </w:rPr>
        <w:t>include collaboration</w:t>
      </w:r>
      <w:r w:rsidR="00612ADE" w:rsidRPr="00086216">
        <w:rPr>
          <w:sz w:val="24"/>
        </w:rPr>
        <w:t xml:space="preserve"> with one or more AHS academic departments.  </w:t>
      </w:r>
      <w:r w:rsidR="00BA09C8" w:rsidRPr="00BA09C8">
        <w:rPr>
          <w:b/>
          <w:sz w:val="24"/>
        </w:rPr>
        <w:t>Using the proceeding 5 criteria</w:t>
      </w:r>
      <w:r w:rsidR="00BA09C8">
        <w:rPr>
          <w:b/>
          <w:sz w:val="24"/>
        </w:rPr>
        <w:t xml:space="preserve"> as a guide</w:t>
      </w:r>
      <w:r w:rsidR="00BA09C8" w:rsidRPr="00BA09C8">
        <w:rPr>
          <w:b/>
          <w:sz w:val="24"/>
        </w:rPr>
        <w:t>, d</w:t>
      </w:r>
      <w:r w:rsidR="00612ADE" w:rsidRPr="00BA09C8">
        <w:rPr>
          <w:b/>
          <w:sz w:val="24"/>
        </w:rPr>
        <w:t>epartments</w:t>
      </w:r>
      <w:r w:rsidR="008D32E1" w:rsidRPr="00086216">
        <w:rPr>
          <w:b/>
          <w:sz w:val="24"/>
        </w:rPr>
        <w:t xml:space="preserve"> should prioritize and rank their submissions when multiple proposals are submitted</w:t>
      </w:r>
      <w:r w:rsidR="008D32E1" w:rsidRPr="00086216">
        <w:rPr>
          <w:sz w:val="24"/>
        </w:rPr>
        <w:t>. The ranking should also account for multi-unit proposals when the proposal is submitted by another unit</w:t>
      </w:r>
      <w:r w:rsidR="00612ADE" w:rsidRPr="00086216">
        <w:rPr>
          <w:sz w:val="24"/>
        </w:rPr>
        <w:t>/department.  Collaborative proposals with DRES and CVC should be included in the ranking</w:t>
      </w:r>
      <w:r w:rsidR="008D32E1" w:rsidRPr="00086216">
        <w:rPr>
          <w:sz w:val="24"/>
        </w:rPr>
        <w:t xml:space="preserve">. </w:t>
      </w:r>
    </w:p>
    <w:p w:rsidR="008D32E1" w:rsidRPr="00086216" w:rsidRDefault="008D32E1" w:rsidP="008D32E1">
      <w:pPr>
        <w:rPr>
          <w:b/>
          <w:bCs/>
          <w:sz w:val="24"/>
        </w:rPr>
      </w:pPr>
    </w:p>
    <w:p w:rsidR="00C005E2" w:rsidRDefault="00C005E2" w:rsidP="008D32E1">
      <w:pPr>
        <w:rPr>
          <w:b/>
          <w:bCs/>
          <w:sz w:val="28"/>
          <w:szCs w:val="28"/>
        </w:rPr>
      </w:pPr>
    </w:p>
    <w:p w:rsidR="008D32E1" w:rsidRPr="0090269E" w:rsidRDefault="008D32E1" w:rsidP="008D32E1">
      <w:pPr>
        <w:rPr>
          <w:sz w:val="28"/>
          <w:szCs w:val="28"/>
        </w:rPr>
      </w:pPr>
      <w:r w:rsidRPr="0090269E">
        <w:rPr>
          <w:b/>
          <w:bCs/>
          <w:sz w:val="28"/>
          <w:szCs w:val="28"/>
        </w:rPr>
        <w:t xml:space="preserve">PROPOSAL </w:t>
      </w:r>
      <w:r w:rsidR="009862AD">
        <w:rPr>
          <w:b/>
          <w:bCs/>
          <w:sz w:val="28"/>
          <w:szCs w:val="28"/>
        </w:rPr>
        <w:t xml:space="preserve">REQUIREMENTS:  </w:t>
      </w:r>
      <w:r w:rsidR="009E4102">
        <w:rPr>
          <w:b/>
          <w:bCs/>
          <w:sz w:val="28"/>
          <w:szCs w:val="28"/>
        </w:rPr>
        <w:t xml:space="preserve">FORMAT AND </w:t>
      </w:r>
      <w:r w:rsidRPr="0090269E">
        <w:rPr>
          <w:b/>
          <w:bCs/>
          <w:sz w:val="28"/>
          <w:szCs w:val="28"/>
        </w:rPr>
        <w:t xml:space="preserve">SUBMISSION DEADLINE </w:t>
      </w:r>
    </w:p>
    <w:p w:rsidR="00073BD3" w:rsidRDefault="00073BD3" w:rsidP="009E4102">
      <w:pPr>
        <w:rPr>
          <w:sz w:val="24"/>
        </w:rPr>
      </w:pPr>
    </w:p>
    <w:p w:rsidR="009E4102" w:rsidRPr="00E4144D" w:rsidRDefault="009E4102" w:rsidP="009E4102">
      <w:pPr>
        <w:rPr>
          <w:b/>
          <w:sz w:val="24"/>
        </w:rPr>
      </w:pPr>
      <w:r w:rsidRPr="00E4144D">
        <w:rPr>
          <w:sz w:val="24"/>
        </w:rPr>
        <w:t xml:space="preserve">Proposals should be </w:t>
      </w:r>
      <w:r w:rsidRPr="00404485">
        <w:rPr>
          <w:b/>
          <w:sz w:val="28"/>
          <w:szCs w:val="28"/>
          <w:highlight w:val="yellow"/>
        </w:rPr>
        <w:t>submitted by January 15, 2021</w:t>
      </w:r>
      <w:r w:rsidR="00EB4201">
        <w:rPr>
          <w:sz w:val="24"/>
        </w:rPr>
        <w:t xml:space="preserve">.  Use </w:t>
      </w:r>
      <w:r w:rsidRPr="00E4144D">
        <w:rPr>
          <w:sz w:val="24"/>
        </w:rPr>
        <w:t xml:space="preserve">the </w:t>
      </w:r>
      <w:r w:rsidRPr="00E4144D">
        <w:rPr>
          <w:b/>
          <w:sz w:val="24"/>
        </w:rPr>
        <w:t>AHS Innovation Planning Proposal Form</w:t>
      </w:r>
      <w:r w:rsidR="00EB4201">
        <w:rPr>
          <w:sz w:val="24"/>
        </w:rPr>
        <w:t xml:space="preserve"> (p. 3</w:t>
      </w:r>
      <w:r w:rsidR="00E4144D">
        <w:rPr>
          <w:sz w:val="24"/>
        </w:rPr>
        <w:t>)</w:t>
      </w:r>
      <w:r w:rsidRPr="00E4144D">
        <w:rPr>
          <w:sz w:val="24"/>
        </w:rPr>
        <w:t>.</w:t>
      </w:r>
      <w:r w:rsidRPr="00E4144D">
        <w:rPr>
          <w:b/>
          <w:sz w:val="24"/>
        </w:rPr>
        <w:t xml:space="preserve">  </w:t>
      </w:r>
    </w:p>
    <w:p w:rsidR="009E4102" w:rsidRPr="00E4144D" w:rsidRDefault="009E4102" w:rsidP="008D32E1">
      <w:pPr>
        <w:rPr>
          <w:sz w:val="24"/>
        </w:rPr>
      </w:pPr>
    </w:p>
    <w:p w:rsidR="004A7254" w:rsidRDefault="004A7254" w:rsidP="008D32E1">
      <w:pPr>
        <w:rPr>
          <w:sz w:val="24"/>
        </w:rPr>
      </w:pPr>
      <w:r w:rsidRPr="004A7254">
        <w:rPr>
          <w:sz w:val="24"/>
          <w:highlight w:val="yellow"/>
        </w:rPr>
        <w:t>Submit p</w:t>
      </w:r>
      <w:r w:rsidR="008D32E1" w:rsidRPr="004A7254">
        <w:rPr>
          <w:sz w:val="24"/>
          <w:highlight w:val="yellow"/>
        </w:rPr>
        <w:t xml:space="preserve">roposals </w:t>
      </w:r>
      <w:r w:rsidR="00C06571" w:rsidRPr="004A7254">
        <w:rPr>
          <w:sz w:val="24"/>
          <w:highlight w:val="yellow"/>
        </w:rPr>
        <w:t>to</w:t>
      </w:r>
      <w:r w:rsidR="00894847">
        <w:rPr>
          <w:sz w:val="24"/>
          <w:highlight w:val="yellow"/>
        </w:rPr>
        <w:t xml:space="preserve"> Office of the Dean -</w:t>
      </w:r>
      <w:r w:rsidRPr="004A7254">
        <w:rPr>
          <w:highlight w:val="yellow"/>
        </w:rPr>
        <w:t xml:space="preserve"> </w:t>
      </w:r>
      <w:hyperlink r:id="rId7" w:history="1">
        <w:r w:rsidRPr="004A7254">
          <w:rPr>
            <w:rStyle w:val="Hyperlink"/>
            <w:sz w:val="24"/>
            <w:highlight w:val="yellow"/>
          </w:rPr>
          <w:t>AHS-Dean@illinois.edu</w:t>
        </w:r>
      </w:hyperlink>
    </w:p>
    <w:p w:rsidR="009862AD" w:rsidRPr="00E4144D" w:rsidRDefault="009862AD" w:rsidP="008D32E1">
      <w:pPr>
        <w:rPr>
          <w:sz w:val="24"/>
        </w:rPr>
      </w:pPr>
    </w:p>
    <w:p w:rsidR="009862AD" w:rsidRDefault="009862AD" w:rsidP="008D32E1"/>
    <w:p w:rsidR="00E4144D" w:rsidRDefault="00E4144D" w:rsidP="008D32E1"/>
    <w:p w:rsidR="002234DC" w:rsidRDefault="009862AD" w:rsidP="008D32E1">
      <w:r>
        <w:rPr>
          <w:b/>
          <w:sz w:val="28"/>
          <w:szCs w:val="28"/>
        </w:rPr>
        <w:t xml:space="preserve">NOTE:  </w:t>
      </w:r>
      <w:r w:rsidRPr="00E4144D">
        <w:rPr>
          <w:b/>
          <w:sz w:val="28"/>
          <w:szCs w:val="28"/>
          <w:u w:val="single"/>
        </w:rPr>
        <w:t xml:space="preserve">On or before January 15, </w:t>
      </w:r>
      <w:r w:rsidRPr="00BA09C8">
        <w:rPr>
          <w:b/>
          <w:sz w:val="28"/>
          <w:szCs w:val="28"/>
          <w:highlight w:val="yellow"/>
          <w:u w:val="single"/>
        </w:rPr>
        <w:t>2022</w:t>
      </w:r>
      <w:r w:rsidR="00BA09C8">
        <w:rPr>
          <w:b/>
          <w:sz w:val="28"/>
          <w:szCs w:val="28"/>
        </w:rPr>
        <w:t>, r</w:t>
      </w:r>
      <w:r w:rsidRPr="009862AD">
        <w:rPr>
          <w:b/>
          <w:sz w:val="28"/>
          <w:szCs w:val="28"/>
        </w:rPr>
        <w:t>ecipient</w:t>
      </w:r>
      <w:r w:rsidR="00BA09C8">
        <w:rPr>
          <w:b/>
          <w:sz w:val="28"/>
          <w:szCs w:val="28"/>
        </w:rPr>
        <w:t>s</w:t>
      </w:r>
      <w:r w:rsidRPr="009862AD">
        <w:rPr>
          <w:b/>
          <w:sz w:val="28"/>
          <w:szCs w:val="28"/>
        </w:rPr>
        <w:t xml:space="preserve"> must submit a full proposal</w:t>
      </w:r>
      <w:r w:rsidR="00BA09C8">
        <w:rPr>
          <w:b/>
          <w:sz w:val="28"/>
          <w:szCs w:val="28"/>
        </w:rPr>
        <w:t xml:space="preserve">s for </w:t>
      </w:r>
      <w:r w:rsidRPr="009862AD">
        <w:rPr>
          <w:b/>
          <w:sz w:val="28"/>
          <w:szCs w:val="28"/>
        </w:rPr>
        <w:t>net rev</w:t>
      </w:r>
      <w:r w:rsidR="00BA09C8">
        <w:rPr>
          <w:b/>
          <w:sz w:val="28"/>
          <w:szCs w:val="28"/>
        </w:rPr>
        <w:t>enue generating activities</w:t>
      </w:r>
      <w:r w:rsidR="00E4144D">
        <w:rPr>
          <w:b/>
          <w:sz w:val="28"/>
          <w:szCs w:val="28"/>
        </w:rPr>
        <w:t>.</w:t>
      </w:r>
      <w:r w:rsidR="00E4144D">
        <w:rPr>
          <w:sz w:val="28"/>
          <w:szCs w:val="28"/>
        </w:rPr>
        <w:t xml:space="preserve">  </w:t>
      </w:r>
      <w:r w:rsidR="00073BD3">
        <w:rPr>
          <w:sz w:val="28"/>
          <w:szCs w:val="28"/>
        </w:rPr>
        <w:t>(</w:t>
      </w:r>
      <w:r w:rsidR="00E4144D" w:rsidRPr="00073BD3">
        <w:rPr>
          <w:sz w:val="24"/>
        </w:rPr>
        <w:t>S</w:t>
      </w:r>
      <w:r w:rsidRPr="00073BD3">
        <w:rPr>
          <w:sz w:val="24"/>
        </w:rPr>
        <w:t xml:space="preserve">ee </w:t>
      </w:r>
      <w:r w:rsidR="00E4144D" w:rsidRPr="00073BD3">
        <w:rPr>
          <w:sz w:val="24"/>
        </w:rPr>
        <w:t xml:space="preserve">the </w:t>
      </w:r>
      <w:r w:rsidRPr="00073BD3">
        <w:rPr>
          <w:sz w:val="24"/>
        </w:rPr>
        <w:t>attached AHS Innovation Full Proposal</w:t>
      </w:r>
      <w:r w:rsidR="00073BD3" w:rsidRPr="00073BD3">
        <w:rPr>
          <w:sz w:val="24"/>
        </w:rPr>
        <w:t>.</w:t>
      </w:r>
      <w:r w:rsidR="00073BD3">
        <w:rPr>
          <w:sz w:val="24"/>
        </w:rPr>
        <w:t>)</w:t>
      </w:r>
      <w:r w:rsidR="00073BD3">
        <w:rPr>
          <w:sz w:val="28"/>
          <w:szCs w:val="28"/>
        </w:rPr>
        <w:t xml:space="preserve">  </w:t>
      </w:r>
      <w:r w:rsidR="00073BD3" w:rsidRPr="00073BD3">
        <w:rPr>
          <w:sz w:val="24"/>
        </w:rPr>
        <w:t xml:space="preserve">Recipients will receive the </w:t>
      </w:r>
      <w:r w:rsidR="00073BD3">
        <w:rPr>
          <w:sz w:val="24"/>
        </w:rPr>
        <w:t>full proposal form again, along with the required budget spreadsheet when notified of funding.</w:t>
      </w:r>
    </w:p>
    <w:p w:rsidR="002234DC" w:rsidRDefault="002234DC">
      <w:pPr>
        <w:spacing w:after="160" w:line="259" w:lineRule="auto"/>
      </w:pPr>
      <w:r>
        <w:br w:type="page"/>
      </w:r>
    </w:p>
    <w:p w:rsidR="002234DC" w:rsidRDefault="002234DC" w:rsidP="002234DC">
      <w:pPr>
        <w:jc w:val="center"/>
        <w:rPr>
          <w:b/>
          <w:bCs/>
          <w:sz w:val="32"/>
          <w:szCs w:val="32"/>
        </w:rPr>
      </w:pPr>
      <w:r w:rsidRPr="0056112F">
        <w:rPr>
          <w:b/>
          <w:sz w:val="32"/>
          <w:szCs w:val="32"/>
        </w:rPr>
        <w:lastRenderedPageBreak/>
        <w:t>AHS Innovation</w:t>
      </w:r>
      <w:r w:rsidRPr="0056112F">
        <w:rPr>
          <w:b/>
          <w:bCs/>
          <w:sz w:val="32"/>
          <w:szCs w:val="32"/>
        </w:rPr>
        <w:t xml:space="preserve"> Planning Proposal Form </w:t>
      </w:r>
    </w:p>
    <w:p w:rsidR="002234DC" w:rsidRDefault="002234DC" w:rsidP="002234DC">
      <w:pPr>
        <w:jc w:val="center"/>
        <w:rPr>
          <w:b/>
          <w:bCs/>
          <w:sz w:val="32"/>
          <w:szCs w:val="32"/>
          <w:u w:val="single"/>
        </w:rPr>
      </w:pPr>
      <w:r w:rsidRPr="00E4144D">
        <w:rPr>
          <w:b/>
          <w:bCs/>
          <w:sz w:val="32"/>
          <w:szCs w:val="32"/>
          <w:highlight w:val="yellow"/>
        </w:rPr>
        <w:t xml:space="preserve">Due </w:t>
      </w:r>
      <w:r w:rsidRPr="00E4144D">
        <w:rPr>
          <w:b/>
          <w:bCs/>
          <w:sz w:val="32"/>
          <w:szCs w:val="32"/>
          <w:highlight w:val="yellow"/>
          <w:u w:val="single"/>
        </w:rPr>
        <w:t>January 15, 2021</w:t>
      </w:r>
    </w:p>
    <w:p w:rsidR="00E4144D" w:rsidRDefault="00E4144D" w:rsidP="002234DC">
      <w:pPr>
        <w:jc w:val="center"/>
        <w:rPr>
          <w:b/>
          <w:bCs/>
          <w:sz w:val="32"/>
          <w:szCs w:val="32"/>
        </w:rPr>
      </w:pPr>
    </w:p>
    <w:p w:rsidR="00073BD3" w:rsidRPr="00073BD3" w:rsidRDefault="00073BD3" w:rsidP="002234DC">
      <w:pPr>
        <w:jc w:val="center"/>
        <w:rPr>
          <w:b/>
          <w:bCs/>
          <w:sz w:val="24"/>
        </w:rPr>
      </w:pPr>
      <w:r w:rsidRPr="0022159C">
        <w:rPr>
          <w:b/>
          <w:bCs/>
          <w:sz w:val="28"/>
          <w:szCs w:val="28"/>
        </w:rPr>
        <w:t xml:space="preserve">College </w:t>
      </w:r>
      <w:r w:rsidR="002234DC" w:rsidRPr="0022159C">
        <w:rPr>
          <w:b/>
          <w:bCs/>
          <w:sz w:val="28"/>
          <w:szCs w:val="28"/>
        </w:rPr>
        <w:t xml:space="preserve">Funding </w:t>
      </w:r>
      <w:r w:rsidR="002234DC" w:rsidRPr="0022159C">
        <w:rPr>
          <w:b/>
          <w:bCs/>
          <w:sz w:val="28"/>
          <w:szCs w:val="28"/>
          <w:u w:val="single"/>
        </w:rPr>
        <w:t>Maximum</w:t>
      </w:r>
      <w:r w:rsidR="002234DC" w:rsidRPr="0022159C">
        <w:rPr>
          <w:b/>
          <w:bCs/>
          <w:sz w:val="28"/>
          <w:szCs w:val="28"/>
        </w:rPr>
        <w:t>:  $20,000</w:t>
      </w:r>
      <w:r>
        <w:rPr>
          <w:b/>
          <w:bCs/>
          <w:sz w:val="32"/>
          <w:szCs w:val="32"/>
        </w:rPr>
        <w:t xml:space="preserve"> </w:t>
      </w:r>
      <w:r w:rsidRPr="00073BD3">
        <w:rPr>
          <w:bCs/>
          <w:sz w:val="24"/>
        </w:rPr>
        <w:t>(departments may supplement)</w:t>
      </w:r>
    </w:p>
    <w:p w:rsidR="002234DC" w:rsidRDefault="004A7254" w:rsidP="002234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Submit to:</w:t>
      </w:r>
      <w:r w:rsidR="00894847">
        <w:rPr>
          <w:b/>
          <w:bCs/>
          <w:sz w:val="28"/>
          <w:szCs w:val="28"/>
        </w:rPr>
        <w:t xml:space="preserve"> </w:t>
      </w:r>
      <w:r w:rsidR="00894847" w:rsidRPr="00894847">
        <w:rPr>
          <w:bCs/>
          <w:sz w:val="28"/>
          <w:szCs w:val="28"/>
          <w:highlight w:val="yellow"/>
        </w:rPr>
        <w:t>Office of the Dean -</w:t>
      </w:r>
      <w:r w:rsidR="00894847" w:rsidRPr="00894847">
        <w:rPr>
          <w:b/>
          <w:bCs/>
          <w:sz w:val="28"/>
          <w:szCs w:val="28"/>
          <w:highlight w:val="yellow"/>
        </w:rPr>
        <w:t xml:space="preserve"> </w:t>
      </w:r>
      <w:r w:rsidRPr="00894847">
        <w:rPr>
          <w:bCs/>
          <w:sz w:val="28"/>
          <w:szCs w:val="28"/>
          <w:highlight w:val="yellow"/>
        </w:rPr>
        <w:t xml:space="preserve"> </w:t>
      </w:r>
      <w:hyperlink r:id="rId8" w:history="1">
        <w:r w:rsidRPr="00894847">
          <w:rPr>
            <w:rStyle w:val="Hyperlink"/>
            <w:bCs/>
            <w:sz w:val="28"/>
            <w:szCs w:val="28"/>
            <w:highlight w:val="yellow"/>
          </w:rPr>
          <w:t>AHS-Dean@illinois.edu</w:t>
        </w:r>
      </w:hyperlink>
    </w:p>
    <w:p w:rsidR="004A7254" w:rsidRPr="0022159C" w:rsidRDefault="004A7254" w:rsidP="002234DC">
      <w:pPr>
        <w:jc w:val="center"/>
        <w:rPr>
          <w:b/>
          <w:sz w:val="28"/>
          <w:szCs w:val="28"/>
        </w:rPr>
      </w:pPr>
    </w:p>
    <w:p w:rsidR="00E4144D" w:rsidRDefault="00E4144D" w:rsidP="002234DC">
      <w:pPr>
        <w:rPr>
          <w:b/>
          <w:sz w:val="32"/>
          <w:szCs w:val="32"/>
        </w:rPr>
      </w:pPr>
    </w:p>
    <w:p w:rsidR="002234DC" w:rsidRPr="00F556F9" w:rsidRDefault="002234DC" w:rsidP="002234DC">
      <w:pPr>
        <w:rPr>
          <w:sz w:val="32"/>
          <w:szCs w:val="32"/>
        </w:rPr>
      </w:pPr>
      <w:r w:rsidRPr="00740E27">
        <w:rPr>
          <w:b/>
          <w:sz w:val="32"/>
          <w:szCs w:val="32"/>
        </w:rPr>
        <w:t>Applicant(s)</w:t>
      </w:r>
    </w:p>
    <w:p w:rsidR="002234DC" w:rsidRPr="00F556F9" w:rsidRDefault="002234DC" w:rsidP="002234DC"/>
    <w:p w:rsidR="002234DC" w:rsidRPr="00F556F9" w:rsidRDefault="002234DC" w:rsidP="0022159C">
      <w:pPr>
        <w:ind w:left="360"/>
        <w:rPr>
          <w:sz w:val="24"/>
        </w:rPr>
      </w:pPr>
      <w:r w:rsidRPr="00F556F9">
        <w:rPr>
          <w:b/>
          <w:sz w:val="24"/>
        </w:rPr>
        <w:t>Name(s)</w:t>
      </w:r>
    </w:p>
    <w:p w:rsidR="002234DC" w:rsidRPr="00F556F9" w:rsidRDefault="002234DC" w:rsidP="0022159C">
      <w:pPr>
        <w:ind w:left="360"/>
        <w:rPr>
          <w:sz w:val="24"/>
        </w:rPr>
      </w:pPr>
    </w:p>
    <w:p w:rsidR="002234DC" w:rsidRPr="00F556F9" w:rsidRDefault="002234DC" w:rsidP="0022159C">
      <w:pPr>
        <w:ind w:left="360"/>
        <w:rPr>
          <w:sz w:val="24"/>
        </w:rPr>
      </w:pPr>
    </w:p>
    <w:p w:rsidR="002234DC" w:rsidRPr="00F556F9" w:rsidRDefault="002234DC" w:rsidP="0022159C">
      <w:pPr>
        <w:ind w:left="360"/>
        <w:rPr>
          <w:b/>
          <w:sz w:val="24"/>
        </w:rPr>
      </w:pPr>
      <w:r w:rsidRPr="00F556F9">
        <w:rPr>
          <w:b/>
          <w:sz w:val="24"/>
        </w:rPr>
        <w:t>Email and phone of primary applicant</w:t>
      </w:r>
    </w:p>
    <w:p w:rsidR="002234DC" w:rsidRPr="00F556F9" w:rsidRDefault="002234DC" w:rsidP="0022159C">
      <w:pPr>
        <w:ind w:left="360"/>
        <w:rPr>
          <w:b/>
          <w:sz w:val="24"/>
        </w:rPr>
      </w:pPr>
    </w:p>
    <w:p w:rsidR="002234DC" w:rsidRPr="00F556F9" w:rsidRDefault="002234DC" w:rsidP="0022159C">
      <w:pPr>
        <w:ind w:left="360"/>
        <w:rPr>
          <w:b/>
          <w:sz w:val="24"/>
        </w:rPr>
      </w:pPr>
    </w:p>
    <w:p w:rsidR="002234DC" w:rsidRPr="00F556F9" w:rsidRDefault="002234DC" w:rsidP="0022159C">
      <w:pPr>
        <w:ind w:left="360"/>
        <w:rPr>
          <w:sz w:val="24"/>
        </w:rPr>
      </w:pPr>
      <w:r w:rsidRPr="00F556F9">
        <w:rPr>
          <w:b/>
          <w:sz w:val="24"/>
        </w:rPr>
        <w:t>Department</w:t>
      </w:r>
    </w:p>
    <w:p w:rsidR="002234DC" w:rsidRPr="00F556F9" w:rsidRDefault="002234DC" w:rsidP="0022159C">
      <w:pPr>
        <w:ind w:left="360"/>
        <w:rPr>
          <w:sz w:val="24"/>
        </w:rPr>
      </w:pPr>
    </w:p>
    <w:p w:rsidR="002234DC" w:rsidRPr="00F556F9" w:rsidRDefault="002234DC" w:rsidP="0022159C">
      <w:pPr>
        <w:ind w:left="360"/>
        <w:rPr>
          <w:sz w:val="24"/>
        </w:rPr>
      </w:pPr>
    </w:p>
    <w:p w:rsidR="002234DC" w:rsidRPr="0022159C" w:rsidRDefault="002234DC" w:rsidP="0022159C">
      <w:pPr>
        <w:ind w:left="360"/>
        <w:rPr>
          <w:sz w:val="24"/>
        </w:rPr>
      </w:pPr>
      <w:r w:rsidRPr="00F556F9">
        <w:rPr>
          <w:b/>
          <w:sz w:val="24"/>
        </w:rPr>
        <w:t>Collaborating Units</w:t>
      </w:r>
      <w:r w:rsidR="0022159C">
        <w:rPr>
          <w:b/>
          <w:sz w:val="24"/>
        </w:rPr>
        <w:t xml:space="preserve"> </w:t>
      </w:r>
      <w:r w:rsidR="0022159C">
        <w:rPr>
          <w:sz w:val="24"/>
        </w:rPr>
        <w:t>(if applicable)</w:t>
      </w:r>
    </w:p>
    <w:p w:rsidR="002234DC" w:rsidRDefault="002234DC" w:rsidP="002234DC"/>
    <w:p w:rsidR="0022159C" w:rsidRPr="00F556F9" w:rsidRDefault="0022159C" w:rsidP="002234DC"/>
    <w:p w:rsidR="002234DC" w:rsidRDefault="002234DC" w:rsidP="002234DC"/>
    <w:p w:rsidR="002234DC" w:rsidRPr="00740E27" w:rsidRDefault="002234DC" w:rsidP="002234DC">
      <w:pPr>
        <w:rPr>
          <w:b/>
          <w:sz w:val="32"/>
          <w:szCs w:val="32"/>
        </w:rPr>
      </w:pPr>
      <w:r w:rsidRPr="00740E27">
        <w:rPr>
          <w:b/>
          <w:sz w:val="32"/>
          <w:szCs w:val="32"/>
        </w:rPr>
        <w:t>Questions</w:t>
      </w:r>
    </w:p>
    <w:p w:rsidR="002234DC" w:rsidRDefault="002234DC" w:rsidP="002234DC"/>
    <w:p w:rsidR="002234DC" w:rsidRPr="00F556F9" w:rsidRDefault="002234DC" w:rsidP="0022159C">
      <w:pPr>
        <w:ind w:left="360"/>
        <w:rPr>
          <w:b/>
          <w:sz w:val="24"/>
        </w:rPr>
      </w:pPr>
      <w:r w:rsidRPr="00F556F9">
        <w:rPr>
          <w:b/>
          <w:sz w:val="24"/>
        </w:rPr>
        <w:t>Title</w:t>
      </w:r>
    </w:p>
    <w:p w:rsidR="002234DC" w:rsidRPr="00F556F9" w:rsidRDefault="002234DC" w:rsidP="0022159C">
      <w:pPr>
        <w:ind w:left="360"/>
        <w:rPr>
          <w:b/>
          <w:sz w:val="24"/>
        </w:rPr>
      </w:pPr>
    </w:p>
    <w:p w:rsidR="002234DC" w:rsidRPr="00F556F9" w:rsidRDefault="002234DC" w:rsidP="0022159C">
      <w:pPr>
        <w:ind w:left="360"/>
        <w:rPr>
          <w:b/>
          <w:sz w:val="24"/>
        </w:rPr>
      </w:pPr>
    </w:p>
    <w:p w:rsidR="002234DC" w:rsidRPr="00F556F9" w:rsidRDefault="002234DC" w:rsidP="0022159C">
      <w:pPr>
        <w:ind w:left="360"/>
        <w:rPr>
          <w:b/>
          <w:sz w:val="24"/>
        </w:rPr>
      </w:pPr>
      <w:r w:rsidRPr="00F556F9">
        <w:rPr>
          <w:b/>
          <w:sz w:val="24"/>
        </w:rPr>
        <w:t>Description of activity/program targeted for development</w:t>
      </w:r>
    </w:p>
    <w:p w:rsidR="002234DC" w:rsidRPr="00F556F9" w:rsidRDefault="002234DC" w:rsidP="0022159C">
      <w:pPr>
        <w:ind w:left="360"/>
        <w:rPr>
          <w:b/>
          <w:sz w:val="24"/>
        </w:rPr>
      </w:pPr>
    </w:p>
    <w:p w:rsidR="002234DC" w:rsidRPr="00F556F9" w:rsidRDefault="002234DC" w:rsidP="0022159C">
      <w:pPr>
        <w:ind w:left="360"/>
        <w:rPr>
          <w:b/>
          <w:sz w:val="24"/>
        </w:rPr>
      </w:pPr>
    </w:p>
    <w:p w:rsidR="002234DC" w:rsidRPr="00F556F9" w:rsidRDefault="002234DC" w:rsidP="0022159C">
      <w:pPr>
        <w:ind w:left="360"/>
        <w:rPr>
          <w:b/>
          <w:sz w:val="24"/>
        </w:rPr>
      </w:pPr>
      <w:r w:rsidRPr="00F556F9">
        <w:rPr>
          <w:b/>
          <w:sz w:val="24"/>
        </w:rPr>
        <w:t>Potential need and impacts</w:t>
      </w:r>
    </w:p>
    <w:p w:rsidR="002234DC" w:rsidRPr="00F556F9" w:rsidRDefault="002234DC" w:rsidP="0022159C">
      <w:pPr>
        <w:ind w:left="360"/>
        <w:rPr>
          <w:b/>
          <w:sz w:val="24"/>
        </w:rPr>
      </w:pPr>
    </w:p>
    <w:p w:rsidR="002234DC" w:rsidRPr="00F556F9" w:rsidRDefault="002234DC" w:rsidP="0022159C">
      <w:pPr>
        <w:ind w:left="360"/>
        <w:rPr>
          <w:b/>
          <w:sz w:val="24"/>
        </w:rPr>
      </w:pPr>
    </w:p>
    <w:p w:rsidR="002234DC" w:rsidRPr="00F556F9" w:rsidRDefault="002234DC" w:rsidP="0022159C">
      <w:pPr>
        <w:ind w:left="360"/>
        <w:rPr>
          <w:b/>
          <w:sz w:val="24"/>
        </w:rPr>
      </w:pPr>
      <w:r w:rsidRPr="00F556F9">
        <w:rPr>
          <w:b/>
          <w:sz w:val="24"/>
        </w:rPr>
        <w:t>Justification:  Potential sustainability/revenue generation</w:t>
      </w:r>
    </w:p>
    <w:p w:rsidR="002234DC" w:rsidRPr="00F556F9" w:rsidRDefault="002234DC" w:rsidP="0022159C">
      <w:pPr>
        <w:ind w:left="360"/>
        <w:rPr>
          <w:b/>
          <w:sz w:val="24"/>
        </w:rPr>
      </w:pPr>
    </w:p>
    <w:p w:rsidR="002234DC" w:rsidRPr="00F556F9" w:rsidRDefault="002234DC" w:rsidP="0022159C">
      <w:pPr>
        <w:ind w:left="360"/>
        <w:rPr>
          <w:b/>
          <w:sz w:val="24"/>
        </w:rPr>
      </w:pPr>
    </w:p>
    <w:p w:rsidR="002234DC" w:rsidRPr="000F515C" w:rsidRDefault="002234DC" w:rsidP="0022159C">
      <w:pPr>
        <w:ind w:left="360"/>
        <w:rPr>
          <w:sz w:val="24"/>
        </w:rPr>
      </w:pPr>
      <w:r w:rsidRPr="00F556F9">
        <w:rPr>
          <w:b/>
          <w:sz w:val="24"/>
        </w:rPr>
        <w:t>Planning Budget</w:t>
      </w:r>
      <w:r w:rsidR="00475085">
        <w:rPr>
          <w:b/>
          <w:sz w:val="24"/>
        </w:rPr>
        <w:t xml:space="preserve"> </w:t>
      </w:r>
      <w:r w:rsidR="00475085" w:rsidRPr="00475085">
        <w:rPr>
          <w:sz w:val="24"/>
        </w:rPr>
        <w:t>(provide detail about how funding will be allocated)</w:t>
      </w:r>
    </w:p>
    <w:p w:rsidR="002234DC" w:rsidRPr="000F515C" w:rsidRDefault="002234DC" w:rsidP="0022159C">
      <w:pPr>
        <w:ind w:left="360"/>
        <w:rPr>
          <w:sz w:val="24"/>
        </w:rPr>
      </w:pPr>
    </w:p>
    <w:p w:rsidR="002234DC" w:rsidRDefault="002234DC" w:rsidP="0022159C">
      <w:pPr>
        <w:ind w:left="360"/>
        <w:rPr>
          <w:sz w:val="24"/>
        </w:rPr>
      </w:pPr>
    </w:p>
    <w:p w:rsidR="009B0837" w:rsidRPr="009B0837" w:rsidRDefault="002234DC" w:rsidP="0022159C">
      <w:pPr>
        <w:ind w:left="360"/>
        <w:rPr>
          <w:sz w:val="24"/>
        </w:rPr>
      </w:pPr>
      <w:r w:rsidRPr="000F515C">
        <w:rPr>
          <w:b/>
          <w:sz w:val="24"/>
        </w:rPr>
        <w:t>Departmental Ranking</w:t>
      </w:r>
      <w:r w:rsidR="00E51D9C">
        <w:rPr>
          <w:b/>
          <w:sz w:val="24"/>
        </w:rPr>
        <w:t xml:space="preserve"> (x of x</w:t>
      </w:r>
      <w:bookmarkStart w:id="0" w:name="_GoBack"/>
      <w:bookmarkEnd w:id="0"/>
      <w:r w:rsidR="00E51D9C">
        <w:rPr>
          <w:b/>
          <w:sz w:val="24"/>
        </w:rPr>
        <w:t>)</w:t>
      </w:r>
    </w:p>
    <w:sectPr w:rsidR="009B0837" w:rsidRPr="009B0837" w:rsidSect="000862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9C8" w:rsidRDefault="00BA09C8" w:rsidP="00BA09C8">
      <w:r>
        <w:separator/>
      </w:r>
    </w:p>
  </w:endnote>
  <w:endnote w:type="continuationSeparator" w:id="0">
    <w:p w:rsidR="00BA09C8" w:rsidRDefault="00BA09C8" w:rsidP="00BA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9C8" w:rsidRDefault="00BA09C8" w:rsidP="00BA09C8">
      <w:r>
        <w:separator/>
      </w:r>
    </w:p>
  </w:footnote>
  <w:footnote w:type="continuationSeparator" w:id="0">
    <w:p w:rsidR="00BA09C8" w:rsidRDefault="00BA09C8" w:rsidP="00BA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3336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09C8" w:rsidRDefault="00BA09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0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09C8" w:rsidRDefault="00BA0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582"/>
    <w:multiLevelType w:val="hybridMultilevel"/>
    <w:tmpl w:val="E310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1245"/>
    <w:multiLevelType w:val="hybridMultilevel"/>
    <w:tmpl w:val="0C6AB64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74A5A"/>
    <w:multiLevelType w:val="hybridMultilevel"/>
    <w:tmpl w:val="6BB0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87E30"/>
    <w:multiLevelType w:val="hybridMultilevel"/>
    <w:tmpl w:val="BC721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956E3A"/>
    <w:multiLevelType w:val="hybridMultilevel"/>
    <w:tmpl w:val="F2CC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51FA5"/>
    <w:multiLevelType w:val="hybridMultilevel"/>
    <w:tmpl w:val="6728D4B6"/>
    <w:lvl w:ilvl="0" w:tplc="2D5CA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66805"/>
    <w:multiLevelType w:val="hybridMultilevel"/>
    <w:tmpl w:val="B838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E1"/>
    <w:rsid w:val="0003052A"/>
    <w:rsid w:val="00073BD3"/>
    <w:rsid w:val="00086216"/>
    <w:rsid w:val="000A52F3"/>
    <w:rsid w:val="00110790"/>
    <w:rsid w:val="00145938"/>
    <w:rsid w:val="00152E2E"/>
    <w:rsid w:val="00172176"/>
    <w:rsid w:val="001E322D"/>
    <w:rsid w:val="0022159C"/>
    <w:rsid w:val="002234DC"/>
    <w:rsid w:val="002460FD"/>
    <w:rsid w:val="00252B79"/>
    <w:rsid w:val="00252E43"/>
    <w:rsid w:val="0026111F"/>
    <w:rsid w:val="00334A9D"/>
    <w:rsid w:val="00362DC1"/>
    <w:rsid w:val="003C29A2"/>
    <w:rsid w:val="003D035E"/>
    <w:rsid w:val="003D7ABB"/>
    <w:rsid w:val="00404485"/>
    <w:rsid w:val="00415A18"/>
    <w:rsid w:val="004309BF"/>
    <w:rsid w:val="00452ED8"/>
    <w:rsid w:val="004614DD"/>
    <w:rsid w:val="00475085"/>
    <w:rsid w:val="004A7254"/>
    <w:rsid w:val="004F6B14"/>
    <w:rsid w:val="0053500E"/>
    <w:rsid w:val="0054393F"/>
    <w:rsid w:val="005439FB"/>
    <w:rsid w:val="00585513"/>
    <w:rsid w:val="00596246"/>
    <w:rsid w:val="005A3C9D"/>
    <w:rsid w:val="005C7A7A"/>
    <w:rsid w:val="005D271F"/>
    <w:rsid w:val="0061011B"/>
    <w:rsid w:val="00612ADE"/>
    <w:rsid w:val="006C44D7"/>
    <w:rsid w:val="006D542D"/>
    <w:rsid w:val="006D756B"/>
    <w:rsid w:val="00726690"/>
    <w:rsid w:val="00836118"/>
    <w:rsid w:val="00894847"/>
    <w:rsid w:val="008A55C7"/>
    <w:rsid w:val="008C0D93"/>
    <w:rsid w:val="008D32E1"/>
    <w:rsid w:val="0090269E"/>
    <w:rsid w:val="00946492"/>
    <w:rsid w:val="009862AD"/>
    <w:rsid w:val="00993F1C"/>
    <w:rsid w:val="009A5469"/>
    <w:rsid w:val="009B0837"/>
    <w:rsid w:val="009B7415"/>
    <w:rsid w:val="009C6BCA"/>
    <w:rsid w:val="009E4102"/>
    <w:rsid w:val="00A540A3"/>
    <w:rsid w:val="00A57EDB"/>
    <w:rsid w:val="00A6724F"/>
    <w:rsid w:val="00A673A8"/>
    <w:rsid w:val="00A771F9"/>
    <w:rsid w:val="00AB2239"/>
    <w:rsid w:val="00AB33E5"/>
    <w:rsid w:val="00B204A8"/>
    <w:rsid w:val="00B55A24"/>
    <w:rsid w:val="00B97224"/>
    <w:rsid w:val="00BA09C8"/>
    <w:rsid w:val="00BE0B63"/>
    <w:rsid w:val="00C005E2"/>
    <w:rsid w:val="00C06571"/>
    <w:rsid w:val="00C16FFE"/>
    <w:rsid w:val="00C26EF5"/>
    <w:rsid w:val="00C454D3"/>
    <w:rsid w:val="00C6501A"/>
    <w:rsid w:val="00C6624A"/>
    <w:rsid w:val="00D3019A"/>
    <w:rsid w:val="00D673C1"/>
    <w:rsid w:val="00D923C9"/>
    <w:rsid w:val="00DB7847"/>
    <w:rsid w:val="00E35741"/>
    <w:rsid w:val="00E4144D"/>
    <w:rsid w:val="00E43EF3"/>
    <w:rsid w:val="00E51D9C"/>
    <w:rsid w:val="00E87B38"/>
    <w:rsid w:val="00EB2387"/>
    <w:rsid w:val="00EB4201"/>
    <w:rsid w:val="00EC153A"/>
    <w:rsid w:val="00EF0D5A"/>
    <w:rsid w:val="00F213F0"/>
    <w:rsid w:val="00F3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FAB7"/>
  <w15:chartTrackingRefBased/>
  <w15:docId w15:val="{567C0426-A347-446E-886C-DFBC44D3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4DD"/>
    <w:pPr>
      <w:spacing w:after="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2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B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B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B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B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72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9C8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BA0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9C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S-Dean@illinoi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S-Dean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Hanley-Maxwell, Cheryl D</dc:creator>
  <cp:keywords/>
  <dc:description/>
  <cp:lastModifiedBy>Hanley-Maxwell, Cheryl D</cp:lastModifiedBy>
  <cp:revision>3</cp:revision>
  <cp:lastPrinted>2020-10-29T16:00:00Z</cp:lastPrinted>
  <dcterms:created xsi:type="dcterms:W3CDTF">2020-11-10T16:47:00Z</dcterms:created>
  <dcterms:modified xsi:type="dcterms:W3CDTF">2020-11-10T16:48:00Z</dcterms:modified>
</cp:coreProperties>
</file>